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3EE4" w14:textId="06E5F7C6" w:rsidR="00BF5762" w:rsidRDefault="00631958" w:rsidP="00631958">
      <w:pPr>
        <w:ind w:left="375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noProof/>
          <w:sz w:val="20"/>
        </w:rPr>
        <w:drawing>
          <wp:inline distT="0" distB="0" distL="0" distR="0" wp14:anchorId="22025377" wp14:editId="4E48B5DA">
            <wp:extent cx="656130" cy="485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137"/>
          <w:sz w:val="20"/>
        </w:rPr>
        <w:drawing>
          <wp:inline distT="0" distB="0" distL="0" distR="0" wp14:anchorId="4D355709" wp14:editId="74FAC73B">
            <wp:extent cx="476250" cy="580929"/>
            <wp:effectExtent l="0" t="0" r="0" b="0"/>
            <wp:docPr id="2" name="Picture 2" descr="MN DeafBlind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N DeafBlind Proje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4" cy="5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989B" w14:textId="77777777" w:rsidR="00BF5762" w:rsidRDefault="00BF5762">
      <w:pPr>
        <w:pStyle w:val="BodyText"/>
        <w:rPr>
          <w:rFonts w:ascii="Times New Roman"/>
          <w:sz w:val="20"/>
        </w:rPr>
      </w:pPr>
    </w:p>
    <w:p w14:paraId="288F3BBD" w14:textId="77777777" w:rsidR="00BF5762" w:rsidRDefault="00BF5762">
      <w:pPr>
        <w:pStyle w:val="BodyText"/>
        <w:spacing w:before="9"/>
        <w:rPr>
          <w:rFonts w:ascii="Times New Roman"/>
          <w:sz w:val="18"/>
        </w:rPr>
      </w:pPr>
    </w:p>
    <w:p w14:paraId="19F39BCD" w14:textId="77777777" w:rsidR="00BF5762" w:rsidRDefault="00631958">
      <w:pPr>
        <w:pStyle w:val="Title"/>
        <w:spacing w:before="91"/>
        <w:ind w:right="1399"/>
      </w:pPr>
      <w:r>
        <w:t>Open</w:t>
      </w:r>
      <w:r>
        <w:rPr>
          <w:spacing w:val="-4"/>
        </w:rPr>
        <w:t xml:space="preserve"> </w:t>
      </w:r>
      <w:r>
        <w:t>Hands,</w:t>
      </w:r>
      <w:r>
        <w:rPr>
          <w:spacing w:val="-3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Access:</w:t>
      </w:r>
      <w:r>
        <w:rPr>
          <w:spacing w:val="-2"/>
        </w:rPr>
        <w:t xml:space="preserve"> </w:t>
      </w:r>
      <w:r>
        <w:t>DeafBlind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2"/>
        </w:rPr>
        <w:t>Modules</w:t>
      </w:r>
    </w:p>
    <w:p w14:paraId="31ACCEA8" w14:textId="77777777" w:rsidR="00BF5762" w:rsidRDefault="00BF5762">
      <w:pPr>
        <w:pStyle w:val="BodyText"/>
        <w:spacing w:before="8"/>
        <w:rPr>
          <w:b/>
          <w:sz w:val="41"/>
        </w:rPr>
      </w:pPr>
    </w:p>
    <w:p w14:paraId="4D80CBF0" w14:textId="77777777" w:rsidR="00BF5762" w:rsidRDefault="00631958">
      <w:pPr>
        <w:pStyle w:val="Title"/>
      </w:pPr>
      <w:r>
        <w:t xml:space="preserve">Summer 2022 </w:t>
      </w:r>
      <w:r>
        <w:rPr>
          <w:spacing w:val="-2"/>
        </w:rPr>
        <w:t>Cohorts</w:t>
      </w:r>
    </w:p>
    <w:p w14:paraId="611C85E9" w14:textId="77777777" w:rsidR="00BF5762" w:rsidRDefault="00BF5762">
      <w:pPr>
        <w:pStyle w:val="BodyText"/>
        <w:spacing w:before="5"/>
        <w:rPr>
          <w:b/>
          <w:sz w:val="25"/>
        </w:rPr>
      </w:pPr>
    </w:p>
    <w:p w14:paraId="1E4A1FAD" w14:textId="77777777" w:rsidR="00BF5762" w:rsidRDefault="00631958">
      <w:pPr>
        <w:spacing w:before="1"/>
        <w:ind w:left="120" w:right="190"/>
        <w:rPr>
          <w:i/>
          <w:sz w:val="24"/>
        </w:rPr>
      </w:pPr>
      <w:r>
        <w:rPr>
          <w:i/>
          <w:sz w:val="24"/>
        </w:rPr>
        <w:t>Sponsored by the Minnesota DeafBlind Project and American Sign Language Interpreter Services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(ASLIS),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CMP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Sponsor.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offered for 1.2 RID CEUs at the Little/Non-Content Knowledge Level.</w:t>
      </w:r>
    </w:p>
    <w:p w14:paraId="1CADF622" w14:textId="77777777" w:rsidR="00BF5762" w:rsidRDefault="00BF5762">
      <w:pPr>
        <w:pStyle w:val="BodyText"/>
        <w:spacing w:before="3"/>
        <w:rPr>
          <w:i/>
          <w:sz w:val="31"/>
        </w:rPr>
      </w:pPr>
    </w:p>
    <w:p w14:paraId="58C8385D" w14:textId="42BF592F" w:rsidR="00BF5762" w:rsidRDefault="00631958">
      <w:pPr>
        <w:pStyle w:val="Heading1"/>
      </w:pPr>
      <w:r>
        <w:t>Begins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deadline: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 w:rsidR="003608BF">
        <w:t>1</w:t>
      </w:r>
      <w:r>
        <w:t>6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1427229A" w14:textId="3D70EBC8" w:rsidR="00BF5762" w:rsidRDefault="00BF5762">
      <w:pPr>
        <w:pStyle w:val="BodyText"/>
        <w:ind w:left="110"/>
        <w:rPr>
          <w:sz w:val="20"/>
        </w:rPr>
      </w:pPr>
    </w:p>
    <w:p w14:paraId="3C67271E" w14:textId="77777777" w:rsidR="00BF5762" w:rsidRDefault="00631958">
      <w:pPr>
        <w:spacing w:before="41"/>
        <w:ind w:left="120"/>
        <w:rPr>
          <w:sz w:val="24"/>
        </w:rPr>
      </w:pPr>
      <w:r>
        <w:rPr>
          <w:b/>
          <w:sz w:val="24"/>
        </w:rPr>
        <w:t>Fee: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teacher,</w:t>
      </w:r>
      <w:r>
        <w:rPr>
          <w:spacing w:val="-9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interpreter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intervener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OHOA</w:t>
      </w:r>
    </w:p>
    <w:p w14:paraId="5C547413" w14:textId="77777777" w:rsidR="00BF5762" w:rsidRDefault="00631958">
      <w:pPr>
        <w:pStyle w:val="BodyText"/>
        <w:spacing w:before="12"/>
        <w:ind w:left="120"/>
      </w:pPr>
      <w:r>
        <w:rPr>
          <w:spacing w:val="-2"/>
        </w:rPr>
        <w:t>cohorts.</w:t>
      </w:r>
    </w:p>
    <w:p w14:paraId="2EF5F65D" w14:textId="77777777" w:rsidR="00BF5762" w:rsidRDefault="00BF5762">
      <w:pPr>
        <w:pStyle w:val="BodyText"/>
      </w:pPr>
    </w:p>
    <w:p w14:paraId="2CF9121F" w14:textId="77777777" w:rsidR="00BF5762" w:rsidRDefault="00631958">
      <w:pPr>
        <w:pStyle w:val="BodyText"/>
        <w:ind w:left="120" w:right="190" w:firstLine="3"/>
      </w:pPr>
      <w:r>
        <w:rPr>
          <w:b/>
        </w:rPr>
        <w:t>Target</w:t>
      </w:r>
      <w:r>
        <w:rPr>
          <w:b/>
          <w:spacing w:val="-21"/>
        </w:rPr>
        <w:t xml:space="preserve"> </w:t>
      </w:r>
      <w:r>
        <w:rPr>
          <w:b/>
        </w:rPr>
        <w:t>Audience:</w:t>
      </w:r>
      <w:r>
        <w:rPr>
          <w:b/>
          <w:spacing w:val="14"/>
        </w:rPr>
        <w:t xml:space="preserve"> </w:t>
      </w:r>
      <w:r>
        <w:t>Teachers/licensed</w:t>
      </w:r>
      <w:r>
        <w:rPr>
          <w:spacing w:val="-17"/>
        </w:rPr>
        <w:t xml:space="preserve"> </w:t>
      </w:r>
      <w:r>
        <w:t>professionals,</w:t>
      </w:r>
      <w:r>
        <w:rPr>
          <w:spacing w:val="-16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interpreters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interveners serving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deafblind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previous OHOA cohort.</w:t>
      </w:r>
    </w:p>
    <w:p w14:paraId="6A38FBE9" w14:textId="77777777" w:rsidR="00BF5762" w:rsidRDefault="00BF5762">
      <w:pPr>
        <w:pStyle w:val="BodyText"/>
      </w:pPr>
    </w:p>
    <w:p w14:paraId="272512E1" w14:textId="77777777" w:rsidR="00BF5762" w:rsidRDefault="00631958">
      <w:pPr>
        <w:pStyle w:val="Heading1"/>
      </w:pPr>
      <w:r>
        <w:t xml:space="preserve">Register </w:t>
      </w:r>
      <w:r>
        <w:rPr>
          <w:spacing w:val="-2"/>
        </w:rPr>
        <w:t>Online:</w:t>
      </w:r>
    </w:p>
    <w:p w14:paraId="54521788" w14:textId="77777777" w:rsidR="00BF5762" w:rsidRDefault="00BF5762">
      <w:pPr>
        <w:pStyle w:val="BodyText"/>
        <w:rPr>
          <w:b/>
        </w:rPr>
      </w:pPr>
    </w:p>
    <w:p w14:paraId="6C5D956B" w14:textId="77777777" w:rsidR="00BF5762" w:rsidRDefault="00631958">
      <w:pPr>
        <w:tabs>
          <w:tab w:val="left" w:pos="2908"/>
        </w:tabs>
        <w:ind w:left="120"/>
        <w:rPr>
          <w:b/>
          <w:sz w:val="24"/>
        </w:rPr>
      </w:pPr>
      <w:r>
        <w:rPr>
          <w:sz w:val="24"/>
        </w:rPr>
        <w:t>Teachers</w:t>
      </w:r>
      <w:r>
        <w:rPr>
          <w:spacing w:val="-14"/>
          <w:sz w:val="24"/>
        </w:rPr>
        <w:t xml:space="preserve"> </w:t>
      </w:r>
      <w:r>
        <w:rPr>
          <w:sz w:val="24"/>
        </w:rPr>
        <w:t>register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here:</w:t>
      </w:r>
      <w:r>
        <w:rPr>
          <w:sz w:val="24"/>
        </w:rPr>
        <w:tab/>
      </w:r>
      <w:hyperlink r:id="rId7">
        <w:r>
          <w:rPr>
            <w:b/>
            <w:color w:val="1154CC"/>
            <w:sz w:val="24"/>
            <w:u w:val="single" w:color="1154CC"/>
          </w:rPr>
          <w:t>Teacher</w:t>
        </w:r>
        <w:r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OHOA</w:t>
        </w:r>
        <w:r>
          <w:rPr>
            <w:b/>
            <w:color w:val="1154CC"/>
            <w:spacing w:val="-12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Modules</w:t>
        </w:r>
        <w:r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-</w:t>
        </w:r>
        <w:r>
          <w:rPr>
            <w:b/>
            <w:color w:val="1154CC"/>
            <w:spacing w:val="4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Summer</w:t>
        </w:r>
        <w:r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>
          <w:rPr>
            <w:b/>
            <w:color w:val="1154CC"/>
            <w:spacing w:val="-2"/>
            <w:sz w:val="24"/>
            <w:u w:val="single" w:color="1154CC"/>
          </w:rPr>
          <w:t>Cohort</w:t>
        </w:r>
      </w:hyperlink>
    </w:p>
    <w:p w14:paraId="5D3A21FB" w14:textId="77777777" w:rsidR="00BF5762" w:rsidRDefault="00631958">
      <w:pPr>
        <w:spacing w:before="200"/>
        <w:ind w:left="120"/>
        <w:rPr>
          <w:b/>
          <w:sz w:val="24"/>
        </w:rPr>
      </w:pPr>
      <w:r>
        <w:rPr>
          <w:sz w:val="24"/>
        </w:rPr>
        <w:t>Educational Interpreters register here:</w:t>
      </w:r>
      <w:r>
        <w:rPr>
          <w:spacing w:val="66"/>
          <w:sz w:val="24"/>
        </w:rPr>
        <w:t xml:space="preserve"> </w:t>
      </w:r>
      <w:hyperlink r:id="rId8">
        <w:r>
          <w:rPr>
            <w:b/>
            <w:color w:val="1154CC"/>
            <w:sz w:val="24"/>
            <w:u w:val="single" w:color="1154CC"/>
          </w:rPr>
          <w:t>Interpreter OHOA</w:t>
        </w:r>
        <w:r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 xml:space="preserve">Modules - Summer </w:t>
        </w:r>
        <w:r>
          <w:rPr>
            <w:b/>
            <w:color w:val="1154CC"/>
            <w:spacing w:val="-2"/>
            <w:sz w:val="24"/>
            <w:u w:val="single" w:color="1154CC"/>
          </w:rPr>
          <w:t>Cohort</w:t>
        </w:r>
      </w:hyperlink>
    </w:p>
    <w:p w14:paraId="1A367A9E" w14:textId="77777777" w:rsidR="00BF5762" w:rsidRDefault="00631958">
      <w:pPr>
        <w:spacing w:before="200" w:line="480" w:lineRule="auto"/>
        <w:ind w:left="120" w:right="1055"/>
        <w:rPr>
          <w:b/>
          <w:sz w:val="24"/>
        </w:rPr>
      </w:pPr>
      <w:r>
        <w:rPr>
          <w:sz w:val="24"/>
        </w:rPr>
        <w:t>Interveners</w:t>
      </w:r>
      <w:r>
        <w:rPr>
          <w:spacing w:val="-5"/>
          <w:sz w:val="24"/>
        </w:rPr>
        <w:t xml:space="preserve"> </w:t>
      </w:r>
      <w:r>
        <w:rPr>
          <w:sz w:val="24"/>
        </w:rPr>
        <w:t>register</w:t>
      </w:r>
      <w:r>
        <w:rPr>
          <w:spacing w:val="-5"/>
          <w:sz w:val="24"/>
        </w:rPr>
        <w:t xml:space="preserve"> </w:t>
      </w:r>
      <w:r>
        <w:rPr>
          <w:sz w:val="24"/>
        </w:rPr>
        <w:t>here:</w:t>
      </w:r>
      <w:r>
        <w:rPr>
          <w:spacing w:val="40"/>
          <w:sz w:val="24"/>
        </w:rPr>
        <w:t xml:space="preserve"> </w:t>
      </w:r>
      <w:hyperlink r:id="rId9">
        <w:r>
          <w:rPr>
            <w:b/>
            <w:color w:val="1154CC"/>
            <w:sz w:val="24"/>
            <w:u w:val="single" w:color="1154CC"/>
          </w:rPr>
          <w:t>Interven</w:t>
        </w:r>
        <w:r>
          <w:rPr>
            <w:b/>
            <w:color w:val="1154CC"/>
            <w:sz w:val="24"/>
            <w:u w:val="single" w:color="1154CC"/>
          </w:rPr>
          <w:t>er</w:t>
        </w:r>
        <w:r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OHOA</w:t>
        </w:r>
        <w:r>
          <w:rPr>
            <w:b/>
            <w:color w:val="1154CC"/>
            <w:spacing w:val="-13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Modules -</w:t>
        </w:r>
        <w:r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Summer</w:t>
        </w:r>
        <w:r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Cohort</w:t>
        </w:r>
      </w:hyperlink>
      <w:r>
        <w:rPr>
          <w:b/>
          <w:color w:val="1154CC"/>
          <w:sz w:val="24"/>
        </w:rPr>
        <w:t xml:space="preserve"> </w:t>
      </w:r>
      <w:r>
        <w:rPr>
          <w:b/>
          <w:sz w:val="24"/>
        </w:rPr>
        <w:t>Registration and Program Questions:</w:t>
      </w:r>
    </w:p>
    <w:p w14:paraId="370AD079" w14:textId="77777777" w:rsidR="00BF5762" w:rsidRDefault="00631958">
      <w:pPr>
        <w:pStyle w:val="BodyText"/>
        <w:ind w:left="120"/>
      </w:pPr>
      <w:r>
        <w:t xml:space="preserve">Ann Mayes 612-638-1527 | </w:t>
      </w:r>
      <w:hyperlink r:id="rId10">
        <w:r>
          <w:rPr>
            <w:spacing w:val="-2"/>
            <w:u w:val="single"/>
          </w:rPr>
          <w:t>Ann.Mayes@metroecsu.org</w:t>
        </w:r>
      </w:hyperlink>
    </w:p>
    <w:p w14:paraId="34EC79F7" w14:textId="77777777" w:rsidR="00BF5762" w:rsidRDefault="00BF5762">
      <w:pPr>
        <w:pStyle w:val="BodyText"/>
      </w:pPr>
    </w:p>
    <w:p w14:paraId="6F0FC18F" w14:textId="77777777" w:rsidR="00BF5762" w:rsidRDefault="00631958">
      <w:pPr>
        <w:pStyle w:val="BodyText"/>
        <w:ind w:left="120" w:right="190"/>
      </w:pPr>
      <w:r>
        <w:t>You will receive an immediate confirmation at the email address that is submitted in our registration</w:t>
      </w:r>
      <w:r>
        <w:rPr>
          <w:spacing w:val="-3"/>
        </w:rPr>
        <w:t xml:space="preserve"> </w:t>
      </w:r>
      <w:r>
        <w:t>system.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arrive,</w:t>
      </w:r>
      <w:r>
        <w:rPr>
          <w:spacing w:val="-3"/>
        </w:rPr>
        <w:t xml:space="preserve"> </w:t>
      </w:r>
      <w:r>
        <w:t>contact</w:t>
      </w:r>
      <w:r>
        <w:rPr>
          <w:spacing w:val="-16"/>
        </w:rPr>
        <w:t xml:space="preserve"> </w:t>
      </w:r>
      <w:r>
        <w:t>Ann</w:t>
      </w:r>
      <w:r>
        <w:rPr>
          <w:spacing w:val="-3"/>
        </w:rPr>
        <w:t xml:space="preserve"> </w:t>
      </w:r>
      <w:r>
        <w:t>Mayes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registration.</w:t>
      </w:r>
    </w:p>
    <w:p w14:paraId="4A817A11" w14:textId="77777777" w:rsidR="00BF5762" w:rsidRDefault="00BF5762">
      <w:pPr>
        <w:pStyle w:val="BodyText"/>
      </w:pPr>
    </w:p>
    <w:p w14:paraId="6434C666" w14:textId="77777777" w:rsidR="00BF5762" w:rsidRDefault="00631958">
      <w:pPr>
        <w:pStyle w:val="Heading1"/>
      </w:pPr>
      <w:r>
        <w:t xml:space="preserve">Training </w:t>
      </w:r>
      <w:r>
        <w:rPr>
          <w:spacing w:val="-2"/>
        </w:rPr>
        <w:t>description:</w:t>
      </w:r>
    </w:p>
    <w:p w14:paraId="57AC2A4B" w14:textId="77777777" w:rsidR="00BF5762" w:rsidRDefault="00BF5762">
      <w:pPr>
        <w:pStyle w:val="BodyText"/>
        <w:rPr>
          <w:b/>
        </w:rPr>
      </w:pPr>
    </w:p>
    <w:p w14:paraId="02DF6707" w14:textId="77777777" w:rsidR="00BF5762" w:rsidRDefault="00631958">
      <w:pPr>
        <w:pStyle w:val="BodyText"/>
        <w:ind w:left="120"/>
      </w:pPr>
      <w:r>
        <w:t>The Open Hands Open</w:t>
      </w:r>
      <w:r>
        <w:rPr>
          <w:spacing w:val="-3"/>
        </w:rPr>
        <w:t xml:space="preserve"> </w:t>
      </w:r>
      <w:r>
        <w:t>Access (OHOA) DeafB</w:t>
      </w:r>
      <w:r>
        <w:t>lind Learning Modules are a national resource 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awareness,</w:t>
      </w:r>
      <w:r>
        <w:rPr>
          <w:spacing w:val="-4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 are deafblind and are being served in educational settings (ages 3 – 21).</w:t>
      </w:r>
    </w:p>
    <w:p w14:paraId="4F801A9C" w14:textId="77777777" w:rsidR="00BF5762" w:rsidRDefault="00BF5762">
      <w:pPr>
        <w:sectPr w:rsidR="00BF5762">
          <w:type w:val="continuous"/>
          <w:pgSz w:w="12240" w:h="15840"/>
          <w:pgMar w:top="1500" w:right="960" w:bottom="280" w:left="960" w:header="720" w:footer="720" w:gutter="0"/>
          <w:cols w:space="720"/>
        </w:sectPr>
      </w:pPr>
    </w:p>
    <w:p w14:paraId="0089ACD1" w14:textId="77777777" w:rsidR="00BF5762" w:rsidRDefault="00631958">
      <w:pPr>
        <w:pStyle w:val="Heading1"/>
        <w:spacing w:before="76"/>
      </w:pPr>
      <w:r>
        <w:lastRenderedPageBreak/>
        <w:t>Teachers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Interpreter</w:t>
      </w:r>
      <w:r>
        <w:rPr>
          <w:spacing w:val="-6"/>
        </w:rPr>
        <w:t xml:space="preserve"> </w:t>
      </w:r>
      <w:r>
        <w:rPr>
          <w:spacing w:val="-2"/>
        </w:rPr>
        <w:t>Modules:</w:t>
      </w:r>
    </w:p>
    <w:p w14:paraId="3CB785BF" w14:textId="77777777" w:rsidR="00BF5762" w:rsidRDefault="00631958">
      <w:pPr>
        <w:pStyle w:val="BodyText"/>
        <w:ind w:left="840"/>
      </w:pPr>
      <w:r>
        <w:t>Module 21:</w:t>
      </w:r>
      <w:r>
        <w:rPr>
          <w:spacing w:val="66"/>
        </w:rPr>
        <w:t xml:space="preserve"> </w:t>
      </w:r>
      <w:r>
        <w:rPr>
          <w:spacing w:val="-2"/>
        </w:rPr>
        <w:t>Sexuality</w:t>
      </w:r>
    </w:p>
    <w:p w14:paraId="6792D697" w14:textId="77777777" w:rsidR="00BF5762" w:rsidRDefault="00631958">
      <w:pPr>
        <w:pStyle w:val="BodyText"/>
        <w:ind w:left="840"/>
      </w:pPr>
      <w:r>
        <w:t>Module 23:</w:t>
      </w:r>
      <w:r>
        <w:rPr>
          <w:spacing w:val="66"/>
        </w:rPr>
        <w:t xml:space="preserve"> </w:t>
      </w:r>
      <w:r>
        <w:t xml:space="preserve">Behavioral Environments &amp; </w:t>
      </w:r>
      <w:r>
        <w:rPr>
          <w:spacing w:val="-2"/>
        </w:rPr>
        <w:t>Supports</w:t>
      </w:r>
    </w:p>
    <w:p w14:paraId="073F3ADF" w14:textId="77777777" w:rsidR="00BF5762" w:rsidRDefault="00BF5762">
      <w:pPr>
        <w:pStyle w:val="BodyText"/>
        <w:spacing w:before="11"/>
        <w:rPr>
          <w:sz w:val="23"/>
        </w:rPr>
      </w:pPr>
    </w:p>
    <w:p w14:paraId="1FC23296" w14:textId="77777777" w:rsidR="00BF5762" w:rsidRDefault="00631958">
      <w:pPr>
        <w:pStyle w:val="Heading1"/>
      </w:pPr>
      <w:r>
        <w:t xml:space="preserve">Intervener </w:t>
      </w:r>
      <w:r>
        <w:rPr>
          <w:spacing w:val="-2"/>
        </w:rPr>
        <w:t>Modules:</w:t>
      </w:r>
    </w:p>
    <w:p w14:paraId="781B7975" w14:textId="77777777" w:rsidR="00BF5762" w:rsidRDefault="00631958">
      <w:pPr>
        <w:pStyle w:val="BodyText"/>
        <w:ind w:left="840" w:right="5444"/>
      </w:pPr>
      <w:r>
        <w:t>Module</w:t>
      </w:r>
      <w:r>
        <w:rPr>
          <w:spacing w:val="-13"/>
        </w:rPr>
        <w:t xml:space="preserve"> </w:t>
      </w:r>
      <w:r>
        <w:t>16:</w:t>
      </w:r>
      <w:r>
        <w:rPr>
          <w:spacing w:val="40"/>
        </w:rPr>
        <w:t xml:space="preserve"> </w:t>
      </w:r>
      <w:r>
        <w:t>Self-Determination Module 17:</w:t>
      </w:r>
      <w:r>
        <w:rPr>
          <w:spacing w:val="40"/>
        </w:rPr>
        <w:t xml:space="preserve"> </w:t>
      </w:r>
      <w:r>
        <w:t>Soc</w:t>
      </w:r>
      <w:r>
        <w:t>ial Skills</w:t>
      </w:r>
    </w:p>
    <w:p w14:paraId="510F7CF5" w14:textId="77777777" w:rsidR="00BF5762" w:rsidRDefault="00BF5762">
      <w:pPr>
        <w:pStyle w:val="BodyText"/>
      </w:pPr>
    </w:p>
    <w:p w14:paraId="5A399BCB" w14:textId="77777777" w:rsidR="00BF5762" w:rsidRDefault="00631958">
      <w:pPr>
        <w:pStyle w:val="Heading1"/>
      </w:pPr>
      <w:r>
        <w:t xml:space="preserve">The training </w:t>
      </w:r>
      <w:r>
        <w:rPr>
          <w:spacing w:val="-2"/>
        </w:rPr>
        <w:t>includes:</w:t>
      </w:r>
    </w:p>
    <w:p w14:paraId="6F1A9DF3" w14:textId="77777777" w:rsidR="00BF5762" w:rsidRDefault="00BF5762">
      <w:pPr>
        <w:pStyle w:val="BodyText"/>
        <w:rPr>
          <w:b/>
        </w:rPr>
      </w:pPr>
    </w:p>
    <w:p w14:paraId="6B2A5FFF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033"/>
        <w:rPr>
          <w:sz w:val="24"/>
        </w:rPr>
      </w:pPr>
      <w:r>
        <w:rPr>
          <w:sz w:val="24"/>
        </w:rPr>
        <w:t>Facilitated</w:t>
      </w:r>
      <w:r>
        <w:rPr>
          <w:spacing w:val="-5"/>
          <w:sz w:val="24"/>
        </w:rPr>
        <w:t xml:space="preserve"> </w:t>
      </w:r>
      <w:r>
        <w:rPr>
          <w:sz w:val="24"/>
        </w:rPr>
        <w:t>module</w:t>
      </w:r>
      <w:r>
        <w:rPr>
          <w:spacing w:val="-5"/>
          <w:sz w:val="24"/>
        </w:rPr>
        <w:t xml:space="preserve"> </w:t>
      </w:r>
      <w:r>
        <w:rPr>
          <w:sz w:val="24"/>
        </w:rPr>
        <w:t>format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engaging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studies,</w:t>
      </w:r>
      <w:r>
        <w:rPr>
          <w:spacing w:val="-5"/>
          <w:sz w:val="24"/>
        </w:rPr>
        <w:t xml:space="preserve"> </w:t>
      </w:r>
      <w:r>
        <w:rPr>
          <w:sz w:val="24"/>
        </w:rPr>
        <w:t>videos,</w:t>
      </w:r>
      <w:r>
        <w:rPr>
          <w:spacing w:val="-5"/>
          <w:sz w:val="24"/>
        </w:rPr>
        <w:t xml:space="preserve"> </w:t>
      </w:r>
      <w:r>
        <w:rPr>
          <w:sz w:val="24"/>
        </w:rPr>
        <w:t>slideshows,</w:t>
      </w:r>
      <w:r>
        <w:rPr>
          <w:spacing w:val="-5"/>
          <w:sz w:val="24"/>
        </w:rPr>
        <w:t xml:space="preserve"> </w:t>
      </w:r>
      <w:r>
        <w:rPr>
          <w:sz w:val="24"/>
        </w:rPr>
        <w:t>short readings, interactive group discussions and more.</w:t>
      </w:r>
    </w:p>
    <w:p w14:paraId="53B1A90E" w14:textId="77777777" w:rsidR="00BF5762" w:rsidRDefault="00BF5762">
      <w:pPr>
        <w:pStyle w:val="BodyText"/>
      </w:pPr>
    </w:p>
    <w:p w14:paraId="61AF5BD2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939"/>
        <w:rPr>
          <w:sz w:val="24"/>
        </w:rPr>
      </w:pP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experts,</w:t>
      </w:r>
      <w:r>
        <w:rPr>
          <w:spacing w:val="-5"/>
          <w:sz w:val="24"/>
        </w:rPr>
        <w:t xml:space="preserve"> </w:t>
      </w:r>
      <w:r>
        <w:rPr>
          <w:sz w:val="24"/>
        </w:rPr>
        <w:t>teachers,</w:t>
      </w:r>
      <w:r>
        <w:rPr>
          <w:spacing w:val="-5"/>
          <w:sz w:val="24"/>
        </w:rPr>
        <w:t xml:space="preserve"> </w:t>
      </w:r>
      <w:r>
        <w:rPr>
          <w:sz w:val="24"/>
        </w:rPr>
        <w:t>interveners,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deafblindness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families.</w:t>
      </w:r>
    </w:p>
    <w:p w14:paraId="1F626A0C" w14:textId="77777777" w:rsidR="00BF5762" w:rsidRDefault="00BF5762">
      <w:pPr>
        <w:pStyle w:val="BodyText"/>
      </w:pPr>
    </w:p>
    <w:p w14:paraId="1D8B1146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 xml:space="preserve">Distance coaching, course </w:t>
      </w:r>
      <w:r>
        <w:rPr>
          <w:spacing w:val="-2"/>
          <w:sz w:val="24"/>
        </w:rPr>
        <w:t>CEUs.</w:t>
      </w:r>
    </w:p>
    <w:p w14:paraId="7B2265C5" w14:textId="77777777" w:rsidR="00BF5762" w:rsidRDefault="00BF5762">
      <w:pPr>
        <w:pStyle w:val="BodyText"/>
      </w:pPr>
    </w:p>
    <w:p w14:paraId="71A7315F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52"/>
        <w:rPr>
          <w:sz w:val="24"/>
        </w:rPr>
      </w:pPr>
      <w:r>
        <w:rPr>
          <w:sz w:val="24"/>
        </w:rPr>
        <w:t>Only 1-2 hours per week are needed to complete the modules. Both modules will be open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3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21 and August 2, 2022. </w:t>
      </w:r>
      <w:r>
        <w:rPr>
          <w:sz w:val="24"/>
          <w:u w:val="single"/>
        </w:rPr>
        <w:t>The deadline for both modules is firm.</w:t>
      </w:r>
    </w:p>
    <w:p w14:paraId="361DFEA0" w14:textId="77777777" w:rsidR="00BF5762" w:rsidRDefault="00BF5762">
      <w:pPr>
        <w:pStyle w:val="BodyText"/>
      </w:pPr>
    </w:p>
    <w:p w14:paraId="37BE165E" w14:textId="77777777" w:rsidR="00BF5762" w:rsidRDefault="0063195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326"/>
        <w:rPr>
          <w:sz w:val="24"/>
        </w:rPr>
      </w:pPr>
      <w:r>
        <w:rPr>
          <w:color w:val="000000"/>
          <w:sz w:val="24"/>
          <w:shd w:val="clear" w:color="auto" w:fill="FFFF00"/>
        </w:rPr>
        <w:t>Guided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coursework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using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two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(2)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online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modules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of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the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training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series.</w:t>
      </w:r>
      <w:r>
        <w:rPr>
          <w:color w:val="000000"/>
          <w:spacing w:val="40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These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specific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modules are only offered during our special summer cohorts.</w:t>
      </w:r>
    </w:p>
    <w:p w14:paraId="126CF09D" w14:textId="77777777" w:rsidR="00BF5762" w:rsidRDefault="00BF5762">
      <w:pPr>
        <w:pStyle w:val="BodyText"/>
        <w:rPr>
          <w:sz w:val="16"/>
        </w:rPr>
      </w:pPr>
    </w:p>
    <w:p w14:paraId="7857700D" w14:textId="77777777" w:rsidR="00BF5762" w:rsidRDefault="00631958">
      <w:pPr>
        <w:pStyle w:val="Heading1"/>
        <w:spacing w:before="92"/>
      </w:pPr>
      <w:r>
        <w:t xml:space="preserve">Facilitator </w:t>
      </w:r>
      <w:r>
        <w:rPr>
          <w:spacing w:val="-2"/>
        </w:rPr>
        <w:t>Information:</w:t>
      </w:r>
    </w:p>
    <w:p w14:paraId="4D72ABB1" w14:textId="77777777" w:rsidR="00BF5762" w:rsidRDefault="00BF5762">
      <w:pPr>
        <w:pStyle w:val="BodyText"/>
        <w:rPr>
          <w:b/>
        </w:rPr>
      </w:pPr>
    </w:p>
    <w:p w14:paraId="433180A3" w14:textId="77777777" w:rsidR="00BF5762" w:rsidRDefault="00631958">
      <w:pPr>
        <w:pStyle w:val="BodyText"/>
        <w:ind w:left="120" w:right="190"/>
      </w:pPr>
      <w:r>
        <w:t xml:space="preserve">Carolyn Monaco has worked in the field of </w:t>
      </w:r>
      <w:proofErr w:type="spellStart"/>
      <w:r>
        <w:t>deafblindness</w:t>
      </w:r>
      <w:proofErr w:type="spellEnd"/>
      <w:r>
        <w:t xml:space="preserve"> for over 40 years.</w:t>
      </w:r>
      <w:r>
        <w:rPr>
          <w:spacing w:val="40"/>
        </w:rPr>
        <w:t xml:space="preserve"> </w:t>
      </w:r>
      <w:r>
        <w:t xml:space="preserve">Her experience includes intervening, consulting, </w:t>
      </w:r>
      <w:proofErr w:type="gramStart"/>
      <w:r>
        <w:t>training</w:t>
      </w:r>
      <w:proofErr w:type="gramEnd"/>
      <w:r>
        <w:t xml:space="preserve"> and teaching in the Intervenor Program at George Brown College in</w:t>
      </w:r>
      <w:r>
        <w:rPr>
          <w:spacing w:val="-3"/>
        </w:rPr>
        <w:t xml:space="preserve"> </w:t>
      </w:r>
      <w:r>
        <w:t>Toronto, Canada.</w:t>
      </w:r>
      <w:r>
        <w:rPr>
          <w:spacing w:val="40"/>
        </w:rPr>
        <w:t xml:space="preserve"> </w:t>
      </w:r>
      <w:r>
        <w:t>Carolyn has also been one of the key pre</w:t>
      </w:r>
      <w:r>
        <w:t>senters in MN DeafBlind Project’s intervener weekend training series for many years.</w:t>
      </w:r>
      <w:r>
        <w:rPr>
          <w:spacing w:val="40"/>
        </w:rPr>
        <w:t xml:space="preserve"> </w:t>
      </w:r>
      <w:r>
        <w:t>Her passion is assisting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 xml:space="preserve">with </w:t>
      </w:r>
      <w:proofErr w:type="spellStart"/>
      <w:r>
        <w:t>deafblindness</w:t>
      </w:r>
      <w:proofErr w:type="spellEnd"/>
      <w:r>
        <w:t>.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Anne</w:t>
      </w:r>
      <w:r>
        <w:rPr>
          <w:spacing w:val="-3"/>
        </w:rPr>
        <w:t xml:space="preserve"> </w:t>
      </w:r>
      <w:r>
        <w:t>Sullivan</w:t>
      </w:r>
      <w:r>
        <w:rPr>
          <w:spacing w:val="-3"/>
        </w:rPr>
        <w:t xml:space="preserve"> </w:t>
      </w:r>
      <w:r>
        <w:t>Macy</w:t>
      </w:r>
      <w:r>
        <w:rPr>
          <w:spacing w:val="-3"/>
        </w:rPr>
        <w:t xml:space="preserve"> </w:t>
      </w:r>
      <w:r>
        <w:t>Medal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</w:t>
      </w:r>
      <w:r>
        <w:t>18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 xml:space="preserve">work. When she isn’t working, Carolyn enjoys traveling, </w:t>
      </w:r>
      <w:proofErr w:type="gramStart"/>
      <w:r>
        <w:t>gardening</w:t>
      </w:r>
      <w:proofErr w:type="gramEnd"/>
      <w:r>
        <w:t xml:space="preserve"> and decorating her home.</w:t>
      </w:r>
    </w:p>
    <w:p w14:paraId="5D20D729" w14:textId="77777777" w:rsidR="00BF5762" w:rsidRDefault="00BF5762">
      <w:pPr>
        <w:pStyle w:val="BodyText"/>
      </w:pPr>
    </w:p>
    <w:p w14:paraId="4FEB39F4" w14:textId="77777777" w:rsidR="00BF5762" w:rsidRDefault="00631958">
      <w:pPr>
        <w:pStyle w:val="BodyText"/>
        <w:ind w:left="1035" w:right="19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76F9E6" wp14:editId="515DCD96">
            <wp:simplePos x="0" y="0"/>
            <wp:positionH relativeFrom="page">
              <wp:posOffset>695325</wp:posOffset>
            </wp:positionH>
            <wp:positionV relativeFrom="paragraph">
              <wp:posOffset>19074</wp:posOffset>
            </wp:positionV>
            <wp:extent cx="571500" cy="4476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Funding for this initiative is made possible with a grant from the MN Department of Education.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 States, CFDA</w:t>
      </w:r>
      <w:r>
        <w:rPr>
          <w:spacing w:val="-2"/>
        </w:rPr>
        <w:t xml:space="preserve"> </w:t>
      </w:r>
      <w:r>
        <w:t>84.027A</w:t>
      </w:r>
      <w:r>
        <w:rPr>
          <w:spacing w:val="-2"/>
        </w:rPr>
        <w:t xml:space="preserve"> </w:t>
      </w:r>
      <w:r>
        <w:t>and Special Education – Technical</w:t>
      </w:r>
      <w:r>
        <w:rPr>
          <w:spacing w:val="-2"/>
        </w:rPr>
        <w:t xml:space="preserve"> </w:t>
      </w:r>
      <w:r>
        <w:t>Assistance and</w:t>
      </w:r>
    </w:p>
    <w:p w14:paraId="0E1B1B5D" w14:textId="77777777" w:rsidR="00BF5762" w:rsidRDefault="00631958">
      <w:pPr>
        <w:pStyle w:val="BodyText"/>
        <w:ind w:left="120" w:right="190"/>
      </w:pPr>
      <w:r>
        <w:t>Dissemination to Improve Services and Results for Children with Disabilities, CFDA</w:t>
      </w:r>
      <w:r>
        <w:rPr>
          <w:spacing w:val="-11"/>
        </w:rPr>
        <w:t xml:space="preserve"> </w:t>
      </w:r>
      <w:r>
        <w:t xml:space="preserve">84.326T. The activity does not necessarily represent the policy of the </w:t>
      </w:r>
      <w:r>
        <w:t xml:space="preserve">federal Department of </w:t>
      </w:r>
      <w:proofErr w:type="gramStart"/>
      <w:r>
        <w:t>Education</w:t>
      </w:r>
      <w:proofErr w:type="gramEnd"/>
      <w:r>
        <w:t xml:space="preserve"> 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 or state government.</w:t>
      </w:r>
    </w:p>
    <w:p w14:paraId="40F56A78" w14:textId="77777777" w:rsidR="00BF5762" w:rsidRDefault="00631958">
      <w:pPr>
        <w:pStyle w:val="BodyText"/>
        <w:spacing w:before="6"/>
      </w:pPr>
      <w:r>
        <w:pict w14:anchorId="16A4D5F3">
          <v:group id="docshapegroup3" o:spid="_x0000_s1026" style="position:absolute;margin-left:190.5pt;margin-top:15.3pt;width:231pt;height:42pt;z-index:-15728128;mso-wrap-distance-left:0;mso-wrap-distance-right:0;mso-position-horizontal-relative:page" coordorigin="3810,306" coordsize="4620,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3810;top:305;width:825;height:840">
              <v:imagedata r:id="rId12" o:title=""/>
            </v:shape>
            <v:shape id="docshape5" o:spid="_x0000_s1028" type="#_x0000_t75" style="position:absolute;left:4695;top:515;width:1890;height:630">
              <v:imagedata r:id="rId13" o:title=""/>
            </v:shape>
            <v:shape id="docshape6" o:spid="_x0000_s1027" type="#_x0000_t75" style="position:absolute;left:6645;top:695;width:1785;height:450">
              <v:imagedata r:id="rId14" o:title=""/>
            </v:shape>
            <w10:wrap type="topAndBottom" anchorx="page"/>
          </v:group>
        </w:pict>
      </w:r>
    </w:p>
    <w:sectPr w:rsidR="00BF5762">
      <w:pgSz w:w="12240" w:h="15840"/>
      <w:pgMar w:top="12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7140"/>
    <w:multiLevelType w:val="hybridMultilevel"/>
    <w:tmpl w:val="E2345F6E"/>
    <w:lvl w:ilvl="0" w:tplc="8098B2A2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950392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0598F6F4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BE7CDC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6FBC0730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26B8A9A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C9E7804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BF1AC104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386E3AFE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762"/>
    <w:rsid w:val="003608BF"/>
    <w:rsid w:val="00631958"/>
    <w:rsid w:val="00B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DDE170A"/>
  <w15:docId w15:val="{DF52743F-D6E2-4F8A-9484-06B8F91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90" w:right="13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ecsu.myquickreg.com/register/event/event.cfm?eventid=1658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etroecsu.myquickreg.com/register/event/event.cfm?eventid=1658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nn.mayes@metroecs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ecsu.myquickreg.com/register/event/event.cfm?eventid=1658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2022 OHOAs Cohort Registration Flyer.docx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2022 OHOAs Cohort Registration Flyer.docx</dc:title>
  <cp:lastModifiedBy>Ann Mayes</cp:lastModifiedBy>
  <cp:revision>2</cp:revision>
  <dcterms:created xsi:type="dcterms:W3CDTF">2022-03-28T22:06:00Z</dcterms:created>
  <dcterms:modified xsi:type="dcterms:W3CDTF">2022-03-28T22:14:00Z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